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50B50A36" w14:textId="593AEDF1" w:rsidR="00CC012D" w:rsidRPr="00CC012D" w:rsidRDefault="00585F6B" w:rsidP="00BA74E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</w:t>
      </w:r>
      <w:bookmarkStart w:id="1" w:name="_Toc213848642"/>
      <w:r w:rsidR="00CC012D" w:rsidRPr="00CC012D"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Manual </w:t>
      </w:r>
      <w:bookmarkEnd w:id="0"/>
      <w:r w:rsidR="00BA74E4"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>de uso panel de Asignaciones</w:t>
      </w:r>
      <w:bookmarkEnd w:id="1"/>
    </w:p>
    <w:p w14:paraId="64875862" w14:textId="77777777" w:rsidR="00F24AB6" w:rsidRDefault="00F24AB6" w:rsidP="00D06017">
      <w:pPr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2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1C2A7960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</w:t>
            </w:r>
            <w:r w:rsidR="00D10614">
              <w:rPr>
                <w:color w:val="17365D"/>
                <w:spacing w:val="-2"/>
                <w:sz w:val="20"/>
              </w:rPr>
              <w:t>2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355C9311" w:rsidR="005463AE" w:rsidRDefault="00FA2A20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Pendiente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2BC98DB4" w:rsidR="005463AE" w:rsidRDefault="005463AE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27CC19B" w14:textId="5F286578" w:rsidR="005463AE" w:rsidRDefault="005463AE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71C2ED4" w14:textId="2D277E63" w:rsidR="005463AE" w:rsidRDefault="005463AE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2F3D347D" w14:textId="5DBCC03B" w:rsidR="005463AE" w:rsidRDefault="005463AE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2"/>
    <w:p w14:paraId="101187F7" w14:textId="77777777" w:rsidR="00F24AB6" w:rsidRDefault="00F24AB6" w:rsidP="00F24AB6">
      <w:pPr>
        <w:spacing w:line="276" w:lineRule="auto"/>
        <w:rPr>
          <w:rFonts w:ascii="Calibri" w:hAnsi="Calibri" w:cs="Calibri"/>
          <w:b/>
          <w:bCs/>
        </w:rPr>
      </w:pPr>
    </w:p>
    <w:sdt>
      <w:sdtPr>
        <w:rPr>
          <w:lang w:val="es-ES"/>
        </w:rPr>
        <w:id w:val="-60318185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4"/>
          <w:szCs w:val="24"/>
          <w:lang w:eastAsia="en-US"/>
          <w14:ligatures w14:val="standardContextual"/>
        </w:rPr>
      </w:sdtEndPr>
      <w:sdtContent>
        <w:p w14:paraId="05220F65" w14:textId="1E126623" w:rsidR="00CB568F" w:rsidRDefault="008A21A9">
          <w:pPr>
            <w:pStyle w:val="TtuloTDC"/>
          </w:pPr>
          <w:r>
            <w:rPr>
              <w:lang w:val="es-ES"/>
            </w:rPr>
            <w:t>Indice</w:t>
          </w:r>
        </w:p>
        <w:p w14:paraId="600006C7" w14:textId="2E55C8DC" w:rsidR="008A21A9" w:rsidRDefault="00CB568F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848642" w:history="1">
            <w:r w:rsidR="008A21A9" w:rsidRPr="006A5888">
              <w:rPr>
                <w:rStyle w:val="Hipervnculo"/>
                <w:rFonts w:ascii="Calibri" w:eastAsia="Times New Roman" w:hAnsi="Calibri" w:cs="Calibri"/>
                <w:b/>
                <w:bCs/>
                <w:noProof/>
                <w:kern w:val="36"/>
                <w:lang w:eastAsia="es-CL"/>
                <w14:ligatures w14:val="none"/>
              </w:rPr>
              <w:t>Manual de uso panel de Asignaciones</w:t>
            </w:r>
            <w:r w:rsidR="008A21A9">
              <w:rPr>
                <w:noProof/>
                <w:webHidden/>
              </w:rPr>
              <w:tab/>
            </w:r>
            <w:r w:rsidR="008A21A9">
              <w:rPr>
                <w:noProof/>
                <w:webHidden/>
              </w:rPr>
              <w:fldChar w:fldCharType="begin"/>
            </w:r>
            <w:r w:rsidR="008A21A9">
              <w:rPr>
                <w:noProof/>
                <w:webHidden/>
              </w:rPr>
              <w:instrText xml:space="preserve"> PAGEREF _Toc213848642 \h </w:instrText>
            </w:r>
            <w:r w:rsidR="008A21A9">
              <w:rPr>
                <w:noProof/>
                <w:webHidden/>
              </w:rPr>
            </w:r>
            <w:r w:rsidR="008A21A9">
              <w:rPr>
                <w:noProof/>
                <w:webHidden/>
              </w:rPr>
              <w:fldChar w:fldCharType="separate"/>
            </w:r>
            <w:r w:rsidR="008A21A9">
              <w:rPr>
                <w:noProof/>
                <w:webHidden/>
              </w:rPr>
              <w:t>1</w:t>
            </w:r>
            <w:r w:rsidR="008A21A9">
              <w:rPr>
                <w:noProof/>
                <w:webHidden/>
              </w:rPr>
              <w:fldChar w:fldCharType="end"/>
            </w:r>
          </w:hyperlink>
        </w:p>
        <w:p w14:paraId="7C10DDB0" w14:textId="3469EFF0" w:rsidR="008A21A9" w:rsidRDefault="008A21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3" w:history="1">
            <w:r w:rsidRPr="006A5888">
              <w:rPr>
                <w:rStyle w:val="Hipervnculo"/>
                <w:noProof/>
              </w:rPr>
              <w:t>1. Objeto y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5A5EB" w14:textId="66502AA8" w:rsidR="008A21A9" w:rsidRDefault="008A21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4" w:history="1">
            <w:r w:rsidRPr="006A5888">
              <w:rPr>
                <w:rStyle w:val="Hipervnculo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B0150" w14:textId="7881B169" w:rsidR="008A21A9" w:rsidRDefault="008A21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5" w:history="1">
            <w:r w:rsidRPr="006A5888">
              <w:rPr>
                <w:rStyle w:val="Hipervnculo"/>
                <w:noProof/>
              </w:rPr>
              <w:t>3. Descripción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BE24D7" w14:textId="24D98E52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6" w:history="1">
            <w:r w:rsidRPr="006A5888">
              <w:rPr>
                <w:rStyle w:val="Hipervnculo"/>
                <w:noProof/>
              </w:rPr>
              <w:t>3.1 Total de OXT entre Privado y Masivos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83096" w14:textId="2933F44C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7" w:history="1">
            <w:r w:rsidRPr="006A5888">
              <w:rPr>
                <w:rStyle w:val="Hipervnculo"/>
                <w:noProof/>
              </w:rPr>
              <w:t>3.2 Total de OXT – Segmento Gran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CB438" w14:textId="49E94CFB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8" w:history="1">
            <w:r w:rsidRPr="006A5888">
              <w:rPr>
                <w:rStyle w:val="Hipervnculo"/>
                <w:noProof/>
              </w:rPr>
              <w:t>3.3 Total de OXT – Servicio SDT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ABE5B" w14:textId="716FD4B4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49" w:history="1">
            <w:r w:rsidRPr="006A5888">
              <w:rPr>
                <w:rStyle w:val="Hipervnculo"/>
                <w:noProof/>
              </w:rPr>
              <w:t>3.4 Total de OXT – Servicio Entel 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958632" w14:textId="34C25873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0" w:history="1">
            <w:r w:rsidRPr="006A5888">
              <w:rPr>
                <w:rStyle w:val="Hipervnculo"/>
                <w:noProof/>
              </w:rPr>
              <w:t>3.5 Total de OXT – Servicio Duo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9FD8A" w14:textId="7C96CE5E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1" w:history="1">
            <w:r w:rsidRPr="006A5888">
              <w:rPr>
                <w:rStyle w:val="Hipervnculo"/>
                <w:noProof/>
              </w:rPr>
              <w:t>3.6 Total de OXT – Servicio Telefonía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054A6" w14:textId="534E6EE5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2" w:history="1">
            <w:r w:rsidRPr="006A5888">
              <w:rPr>
                <w:rStyle w:val="Hipervnculo"/>
                <w:noProof/>
              </w:rPr>
              <w:t>3.7 Total de OXT – Asignación Automática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C4304" w14:textId="5BEA3242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3" w:history="1">
            <w:r w:rsidRPr="006A5888">
              <w:rPr>
                <w:rStyle w:val="Hipervnculo"/>
                <w:noProof/>
              </w:rPr>
              <w:t>3.8 Total de OXT – Asignación Automática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3BAB4" w14:textId="3724CD9A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4" w:history="1">
            <w:r w:rsidRPr="006A5888">
              <w:rPr>
                <w:rStyle w:val="Hipervnculo"/>
                <w:noProof/>
              </w:rPr>
              <w:t>3.9 OXT Iniciadas por Agentes Nova Telecom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E8BD2" w14:textId="3802AEEA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5" w:history="1">
            <w:r w:rsidRPr="006A5888">
              <w:rPr>
                <w:rStyle w:val="Hipervnculo"/>
                <w:noProof/>
              </w:rPr>
              <w:t>3.10 Detalle de Columnas por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6B7A8" w14:textId="5E357E43" w:rsidR="008A21A9" w:rsidRDefault="008A21A9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6" w:history="1">
            <w:r w:rsidRPr="006A5888">
              <w:rPr>
                <w:rStyle w:val="Hipervnculo"/>
                <w:noProof/>
              </w:rPr>
              <w:t>3.11 Última Actualización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5CA3" w14:textId="52C09BAC" w:rsidR="008A21A9" w:rsidRDefault="008A21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848657" w:history="1">
            <w:r w:rsidRPr="006A5888">
              <w:rPr>
                <w:rStyle w:val="Hipervnculo"/>
                <w:noProof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_Toc213848657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55396" w14:textId="02FE79F6" w:rsidR="00CB568F" w:rsidRDefault="00CB568F">
          <w:r>
            <w:rPr>
              <w:b/>
              <w:bCs/>
              <w:lang w:val="es-ES"/>
            </w:rPr>
            <w:fldChar w:fldCharType="end"/>
          </w:r>
        </w:p>
      </w:sdtContent>
    </w:sdt>
    <w:p w14:paraId="30A46CAC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734A9829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480D1CAC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1BAAF539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1BB093A9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2C9DC252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6F79348C" w14:textId="77777777" w:rsidR="00F32F7C" w:rsidRPr="00F32F7C" w:rsidRDefault="00F32F7C" w:rsidP="00525650">
      <w:pPr>
        <w:pStyle w:val="Ttulo1"/>
      </w:pPr>
      <w:bookmarkStart w:id="3" w:name="_Toc213848643"/>
      <w:r w:rsidRPr="00F32F7C">
        <w:lastRenderedPageBreak/>
        <w:t>1. Objeto y Alcance</w:t>
      </w:r>
      <w:bookmarkEnd w:id="3"/>
    </w:p>
    <w:p w14:paraId="17E1D759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El presente manual tiene por objeto describir el funcionamiento, los componentes y las métricas del Panel de Asignaciones, herramienta utilizada para visualizar, analizar y controlar las órdenes de trabajo (OXT) gestionadas por Nova Telecom en los distintos segmentos de servicio.</w:t>
      </w:r>
    </w:p>
    <w:p w14:paraId="4E0F27CE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El alcance de este documento incluye la descripción de los filtros, cálculos, paneles y visualizaciones disponibles dentro de la herramienta, así como la interpretación de los datos mostrados.</w:t>
      </w:r>
      <w:r w:rsidRPr="00F32F7C">
        <w:rPr>
          <w:rFonts w:ascii="Calibri" w:hAnsi="Calibri" w:cs="Calibri"/>
        </w:rPr>
        <w:br/>
        <w:t>Está destinado al equipo de Monitoreo y Observabilidad (MOBS) y a los analistas encargados de la supervisión de las órdenes de trabajo asignadas a las distintas áreas operativas y dependencias regionales.</w:t>
      </w:r>
    </w:p>
    <w:p w14:paraId="3676E5B3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pict w14:anchorId="603178C9">
          <v:rect id="_x0000_i1037" style="width:0;height:1.5pt" o:hralign="center" o:hrstd="t" o:hr="t" fillcolor="#a0a0a0" stroked="f"/>
        </w:pict>
      </w:r>
    </w:p>
    <w:p w14:paraId="0A56D208" w14:textId="77777777" w:rsidR="00F32F7C" w:rsidRPr="00F32F7C" w:rsidRDefault="00F32F7C" w:rsidP="00525650">
      <w:pPr>
        <w:pStyle w:val="Ttulo1"/>
      </w:pPr>
      <w:bookmarkStart w:id="4" w:name="_Toc213848644"/>
      <w:r w:rsidRPr="00F32F7C">
        <w:t>2. Definiciones Clave</w:t>
      </w:r>
      <w:bookmarkEnd w:id="4"/>
    </w:p>
    <w:p w14:paraId="3FC433C1" w14:textId="77777777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OXT (Orden de Trabajo):</w:t>
      </w:r>
      <w:r w:rsidRPr="00F32F7C">
        <w:rPr>
          <w:rFonts w:ascii="Calibri" w:hAnsi="Calibri" w:cs="Calibri"/>
        </w:rPr>
        <w:t xml:space="preserve"> Registro operativo que contiene la información asociada a una instalación, mantenimiento o modificación de un servicio.</w:t>
      </w:r>
    </w:p>
    <w:p w14:paraId="65024B74" w14:textId="77777777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Segmento:</w:t>
      </w:r>
      <w:r w:rsidRPr="00F32F7C">
        <w:rPr>
          <w:rFonts w:ascii="Calibri" w:hAnsi="Calibri" w:cs="Calibri"/>
        </w:rPr>
        <w:t xml:space="preserve"> Clasificación de clientes o servicios según su categoría (Privado, Masivo, Gran Proyecto, etc.).</w:t>
      </w:r>
    </w:p>
    <w:p w14:paraId="241580E7" w14:textId="7A85B1E4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Asignación Automática:</w:t>
      </w:r>
      <w:r w:rsidRPr="00F32F7C">
        <w:rPr>
          <w:rFonts w:ascii="Calibri" w:hAnsi="Calibri" w:cs="Calibri"/>
        </w:rPr>
        <w:t xml:space="preserve"> Proceso mediante el cual las órdenes son </w:t>
      </w:r>
      <w:r>
        <w:rPr>
          <w:rFonts w:ascii="Calibri" w:hAnsi="Calibri" w:cs="Calibri"/>
        </w:rPr>
        <w:t>asignadas por un BOT.</w:t>
      </w:r>
    </w:p>
    <w:p w14:paraId="67FED6A3" w14:textId="77777777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Dependencia Regional:</w:t>
      </w:r>
      <w:r w:rsidRPr="00F32F7C">
        <w:rPr>
          <w:rFonts w:ascii="Calibri" w:hAnsi="Calibri" w:cs="Calibri"/>
        </w:rPr>
        <w:t xml:space="preserve"> División geográfica o técnica dentro de Nova Telecom responsable de la ejecución de órdenes asignadas.</w:t>
      </w:r>
    </w:p>
    <w:p w14:paraId="367D1850" w14:textId="3F58011C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SDT:</w:t>
      </w:r>
      <w:r w:rsidRPr="00F32F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 proveedor externo de Entel, Nova Telecom tomó su dependencia regional.</w:t>
      </w:r>
    </w:p>
    <w:p w14:paraId="781A7A85" w14:textId="77777777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 xml:space="preserve">Entel ONE / </w:t>
      </w:r>
      <w:proofErr w:type="spellStart"/>
      <w:r w:rsidRPr="00F32F7C">
        <w:rPr>
          <w:rFonts w:ascii="Calibri" w:hAnsi="Calibri" w:cs="Calibri"/>
          <w:b/>
          <w:bCs/>
        </w:rPr>
        <w:t>Duo</w:t>
      </w:r>
      <w:proofErr w:type="spellEnd"/>
      <w:r w:rsidRPr="00F32F7C">
        <w:rPr>
          <w:rFonts w:ascii="Calibri" w:hAnsi="Calibri" w:cs="Calibri"/>
          <w:b/>
          <w:bCs/>
        </w:rPr>
        <w:t xml:space="preserve"> Pro / Telefonía Pro:</w:t>
      </w:r>
      <w:r w:rsidRPr="00F32F7C">
        <w:rPr>
          <w:rFonts w:ascii="Calibri" w:hAnsi="Calibri" w:cs="Calibri"/>
        </w:rPr>
        <w:t xml:space="preserve"> Servicios empresariales o profesionales gestionados por Nova Telecom.</w:t>
      </w:r>
    </w:p>
    <w:p w14:paraId="2ADB28C5" w14:textId="77777777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Unidad Ejecutora:</w:t>
      </w:r>
      <w:r w:rsidRPr="00F32F7C">
        <w:rPr>
          <w:rFonts w:ascii="Calibri" w:hAnsi="Calibri" w:cs="Calibri"/>
        </w:rPr>
        <w:t xml:space="preserve"> Área o equipo responsable de la implementación o resolución de la orden.</w:t>
      </w:r>
    </w:p>
    <w:p w14:paraId="09AC06B4" w14:textId="4E2289CC" w:rsidR="00F32F7C" w:rsidRPr="00F32F7C" w:rsidRDefault="00F32F7C" w:rsidP="00F32F7C">
      <w:pPr>
        <w:numPr>
          <w:ilvl w:val="0"/>
          <w:numId w:val="12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Última Actualización:</w:t>
      </w:r>
      <w:r w:rsidRPr="00F32F7C">
        <w:rPr>
          <w:rFonts w:ascii="Calibri" w:hAnsi="Calibri" w:cs="Calibri"/>
        </w:rPr>
        <w:t xml:space="preserve"> Fecha y hora del último proceso de carga de información que alimenta el panel.</w:t>
      </w:r>
    </w:p>
    <w:p w14:paraId="2789E9B4" w14:textId="77777777" w:rsidR="00F32F7C" w:rsidRPr="00F32F7C" w:rsidRDefault="00F32F7C" w:rsidP="00525650">
      <w:pPr>
        <w:pStyle w:val="Ttulo1"/>
      </w:pPr>
      <w:bookmarkStart w:id="5" w:name="_Toc213848645"/>
      <w:r w:rsidRPr="00F32F7C">
        <w:lastRenderedPageBreak/>
        <w:t>3. Descripción del Panel</w:t>
      </w:r>
      <w:bookmarkEnd w:id="5"/>
    </w:p>
    <w:p w14:paraId="70D76EB6" w14:textId="77777777" w:rsidR="00F32F7C" w:rsidRDefault="00F32F7C" w:rsidP="00525650">
      <w:pPr>
        <w:pStyle w:val="Ttulo2"/>
      </w:pPr>
      <w:bookmarkStart w:id="6" w:name="_Toc213848646"/>
      <w:r w:rsidRPr="00F32F7C">
        <w:t>3.1 Total de OXT entre Privado y Masivos</w:t>
      </w:r>
      <w:bookmarkEnd w:id="6"/>
    </w:p>
    <w:p w14:paraId="72FF5800" w14:textId="0DFF4E22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296F4C">
        <w:rPr>
          <w:rFonts w:ascii="Calibri" w:hAnsi="Calibri" w:cs="Calibri"/>
          <w:b/>
          <w:bCs/>
          <w:noProof/>
        </w:rPr>
        <w:drawing>
          <wp:inline distT="0" distB="0" distL="0" distR="0" wp14:anchorId="1665164B" wp14:editId="3F14E79B">
            <wp:extent cx="4435224" cy="1806097"/>
            <wp:effectExtent l="0" t="0" r="3810" b="3810"/>
            <wp:docPr id="41715966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59663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5224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3188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Muestra el total de órdenes de trabajo (OXT) generadas para los segmentos Privado y Masivo, excluyendo los siguientes productos:</w:t>
      </w:r>
    </w:p>
    <w:p w14:paraId="28DBFA29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Gran Proyecto</w:t>
      </w:r>
    </w:p>
    <w:p w14:paraId="1A18C2E0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SDT</w:t>
      </w:r>
    </w:p>
    <w:p w14:paraId="42F8C5E5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Entel ONE</w:t>
      </w:r>
    </w:p>
    <w:p w14:paraId="5CCCB6B6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proofErr w:type="spellStart"/>
      <w:r w:rsidRPr="00F32F7C">
        <w:rPr>
          <w:rFonts w:ascii="Calibri" w:hAnsi="Calibri" w:cs="Calibri"/>
        </w:rPr>
        <w:t>Duo</w:t>
      </w:r>
      <w:proofErr w:type="spellEnd"/>
      <w:r w:rsidRPr="00F32F7C">
        <w:rPr>
          <w:rFonts w:ascii="Calibri" w:hAnsi="Calibri" w:cs="Calibri"/>
        </w:rPr>
        <w:t xml:space="preserve"> Pro</w:t>
      </w:r>
    </w:p>
    <w:p w14:paraId="348A39C3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Telefonía Pro</w:t>
      </w:r>
    </w:p>
    <w:p w14:paraId="35D6B8EB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Asignación Automática</w:t>
      </w:r>
    </w:p>
    <w:p w14:paraId="0980E95D" w14:textId="77777777" w:rsid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Esta visualización permite analizar el comportamiento operativo de las órdenes regulares, sin incluir los servicios especializados.</w:t>
      </w:r>
    </w:p>
    <w:p w14:paraId="4ADD596A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50CD300E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683CAB6D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05305B36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31FAE6FF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23AD8D72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36BFB8B7" w14:textId="77777777" w:rsidR="00A90658" w:rsidRPr="00A90658" w:rsidRDefault="00A90658" w:rsidP="00525650">
      <w:pPr>
        <w:pStyle w:val="Ttulo2"/>
      </w:pPr>
      <w:bookmarkStart w:id="7" w:name="_Toc213848647"/>
      <w:r w:rsidRPr="00A90658">
        <w:lastRenderedPageBreak/>
        <w:t>3.2 Total de OXT – Segmento Gran Proyecto</w:t>
      </w:r>
      <w:bookmarkEnd w:id="7"/>
    </w:p>
    <w:p w14:paraId="741E04D7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Presenta el total de órdenes de trabajo correspondientes al segmento </w:t>
      </w:r>
      <w:r w:rsidRPr="00A90658">
        <w:rPr>
          <w:rFonts w:ascii="Calibri" w:hAnsi="Calibri" w:cs="Calibri"/>
          <w:b/>
          <w:bCs/>
        </w:rPr>
        <w:t>Gran Proyecto</w:t>
      </w:r>
      <w:r w:rsidRPr="00A90658">
        <w:rPr>
          <w:rFonts w:ascii="Calibri" w:hAnsi="Calibri" w:cs="Calibri"/>
        </w:rPr>
        <w:t xml:space="preserve">, excluyendo el cliente </w:t>
      </w:r>
      <w:r w:rsidRPr="00A90658">
        <w:rPr>
          <w:rFonts w:ascii="Calibri" w:hAnsi="Calibri" w:cs="Calibri"/>
          <w:b/>
          <w:bCs/>
        </w:rPr>
        <w:t>Banco de Chile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Permite monitorear la carga operativa exclusiva de grandes cuentas sin incluir excepciones corporativas.</w:t>
      </w:r>
    </w:p>
    <w:p w14:paraId="2C121AE9" w14:textId="51462662" w:rsidR="00CB7676" w:rsidRPr="00A90658" w:rsidRDefault="00CB7676" w:rsidP="00A90658">
      <w:pPr>
        <w:spacing w:line="276" w:lineRule="auto"/>
        <w:rPr>
          <w:rFonts w:ascii="Calibri" w:hAnsi="Calibri" w:cs="Calibri"/>
        </w:rPr>
      </w:pPr>
      <w:r w:rsidRPr="00296F4C">
        <w:rPr>
          <w:rFonts w:ascii="Calibri" w:hAnsi="Calibri" w:cs="Calibri"/>
          <w:b/>
          <w:bCs/>
          <w:noProof/>
        </w:rPr>
        <w:drawing>
          <wp:inline distT="0" distB="0" distL="0" distR="0" wp14:anchorId="0B3B5AD1" wp14:editId="7F17B5E6">
            <wp:extent cx="4397121" cy="739204"/>
            <wp:effectExtent l="0" t="0" r="3810" b="3810"/>
            <wp:docPr id="35039447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9447" name="Imagen 1" descr="Interfaz de usuario gráfica, Texto, Aplicación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AD6F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6CA17CAC">
          <v:rect id="_x0000_i1103" style="width:0;height:1.5pt" o:hralign="center" o:hrstd="t" o:hr="t" fillcolor="#a0a0a0" stroked="f"/>
        </w:pict>
      </w:r>
    </w:p>
    <w:p w14:paraId="01864296" w14:textId="77777777" w:rsidR="00A90658" w:rsidRPr="00A90658" w:rsidRDefault="00A90658" w:rsidP="00525650">
      <w:pPr>
        <w:pStyle w:val="Ttulo2"/>
      </w:pPr>
      <w:bookmarkStart w:id="8" w:name="_Toc213848648"/>
      <w:r w:rsidRPr="00A90658">
        <w:t>3.3 Total de OXT – Servicio SDT</w:t>
      </w:r>
      <w:bookmarkEnd w:id="8"/>
    </w:p>
    <w:p w14:paraId="16B51E01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el total de OXT correspondientes al servicio </w:t>
      </w:r>
      <w:r w:rsidRPr="00A90658">
        <w:rPr>
          <w:rFonts w:ascii="Calibri" w:hAnsi="Calibri" w:cs="Calibri"/>
          <w:b/>
          <w:bCs/>
        </w:rPr>
        <w:t>SDT (Servicio de Datos Telecom)</w:t>
      </w:r>
      <w:r w:rsidRPr="00A90658">
        <w:rPr>
          <w:rFonts w:ascii="Calibri" w:hAnsi="Calibri" w:cs="Calibri"/>
        </w:rPr>
        <w:t xml:space="preserve">, excluyendo igualmente al cliente </w:t>
      </w:r>
      <w:r w:rsidRPr="00A90658">
        <w:rPr>
          <w:rFonts w:ascii="Calibri" w:hAnsi="Calibri" w:cs="Calibri"/>
          <w:b/>
          <w:bCs/>
        </w:rPr>
        <w:t>Banco de Chile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Esta sección facilita el seguimiento de proyectos de datos y la identificación de órdenes en curso dentro de este servicio.</w:t>
      </w:r>
    </w:p>
    <w:p w14:paraId="723DA4FF" w14:textId="1DC521A8" w:rsidR="003B2A47" w:rsidRPr="00A90658" w:rsidRDefault="003B2A47" w:rsidP="00A90658">
      <w:pPr>
        <w:spacing w:line="276" w:lineRule="auto"/>
        <w:rPr>
          <w:rFonts w:ascii="Calibri" w:hAnsi="Calibri" w:cs="Calibri"/>
        </w:rPr>
      </w:pPr>
      <w:r w:rsidRPr="00047E7B">
        <w:rPr>
          <w:rFonts w:ascii="Calibri" w:hAnsi="Calibri" w:cs="Calibri"/>
          <w:b/>
          <w:bCs/>
          <w:noProof/>
        </w:rPr>
        <w:drawing>
          <wp:inline distT="0" distB="0" distL="0" distR="0" wp14:anchorId="2EA8DAF6" wp14:editId="1EE4DA4C">
            <wp:extent cx="4366638" cy="708721"/>
            <wp:effectExtent l="0" t="0" r="0" b="0"/>
            <wp:docPr id="4894319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31976" name="Imagen 1" descr="Interfaz de usuario gráfica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D7F8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0A38D264">
          <v:rect id="_x0000_i1104" style="width:0;height:1.5pt" o:hralign="center" o:hrstd="t" o:hr="t" fillcolor="#a0a0a0" stroked="f"/>
        </w:pict>
      </w:r>
    </w:p>
    <w:p w14:paraId="48060EA3" w14:textId="77777777" w:rsidR="00A90658" w:rsidRPr="00A90658" w:rsidRDefault="00A90658" w:rsidP="00525650">
      <w:pPr>
        <w:pStyle w:val="Ttulo2"/>
      </w:pPr>
      <w:bookmarkStart w:id="9" w:name="_Toc213848649"/>
      <w:r w:rsidRPr="00A90658">
        <w:t>3.4 Total de OXT – Servicio Entel ONE</w:t>
      </w:r>
      <w:bookmarkEnd w:id="9"/>
    </w:p>
    <w:p w14:paraId="2B6C5497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Indica el total de órdenes asociadas al servicio </w:t>
      </w:r>
      <w:r w:rsidRPr="00A90658">
        <w:rPr>
          <w:rFonts w:ascii="Calibri" w:hAnsi="Calibri" w:cs="Calibri"/>
          <w:b/>
          <w:bCs/>
        </w:rPr>
        <w:t>Entel ONE</w:t>
      </w:r>
      <w:r w:rsidRPr="00A90658">
        <w:rPr>
          <w:rFonts w:ascii="Calibri" w:hAnsi="Calibri" w:cs="Calibri"/>
        </w:rPr>
        <w:t xml:space="preserve"> gestionado por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Permite realizar control operativo de un servicio corporativo específico dentro del panel.</w:t>
      </w:r>
    </w:p>
    <w:p w14:paraId="53469CDC" w14:textId="2860BB59" w:rsidR="00112DC0" w:rsidRPr="00A90658" w:rsidRDefault="00112DC0" w:rsidP="00A90658">
      <w:pPr>
        <w:spacing w:line="276" w:lineRule="auto"/>
        <w:rPr>
          <w:rFonts w:ascii="Calibri" w:hAnsi="Calibri" w:cs="Calibri"/>
        </w:rPr>
      </w:pPr>
      <w:r w:rsidRPr="00DB1F3A">
        <w:rPr>
          <w:rFonts w:ascii="Calibri" w:hAnsi="Calibri" w:cs="Calibri"/>
          <w:b/>
          <w:bCs/>
          <w:noProof/>
        </w:rPr>
        <w:drawing>
          <wp:inline distT="0" distB="0" distL="0" distR="0" wp14:anchorId="22000DDD" wp14:editId="7720AA87">
            <wp:extent cx="4328535" cy="723963"/>
            <wp:effectExtent l="0" t="0" r="0" b="0"/>
            <wp:docPr id="35144160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41601" name="Imagen 1" descr="Interfaz de usuario gráfica, Aplicac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7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E25E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40EBFC34">
          <v:rect id="_x0000_i1105" style="width:0;height:1.5pt" o:hralign="center" o:hrstd="t" o:hr="t" fillcolor="#a0a0a0" stroked="f"/>
        </w:pict>
      </w:r>
    </w:p>
    <w:p w14:paraId="74FA3538" w14:textId="77777777" w:rsidR="00A90658" w:rsidRPr="00A90658" w:rsidRDefault="00A90658" w:rsidP="00525650">
      <w:pPr>
        <w:pStyle w:val="Ttulo2"/>
      </w:pPr>
      <w:bookmarkStart w:id="10" w:name="_Toc213848650"/>
      <w:r w:rsidRPr="00A90658">
        <w:lastRenderedPageBreak/>
        <w:t xml:space="preserve">3.5 Total de OXT – Servicio </w:t>
      </w:r>
      <w:proofErr w:type="spellStart"/>
      <w:r w:rsidRPr="00A90658">
        <w:t>Duo</w:t>
      </w:r>
      <w:proofErr w:type="spellEnd"/>
      <w:r w:rsidRPr="00A90658">
        <w:t xml:space="preserve"> Pro</w:t>
      </w:r>
      <w:bookmarkEnd w:id="10"/>
    </w:p>
    <w:p w14:paraId="3DD895F6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las órdenes de trabajo correspondientes al servicio </w:t>
      </w:r>
      <w:proofErr w:type="spellStart"/>
      <w:r w:rsidRPr="00A90658">
        <w:rPr>
          <w:rFonts w:ascii="Calibri" w:hAnsi="Calibri" w:cs="Calibri"/>
          <w:b/>
          <w:bCs/>
        </w:rPr>
        <w:t>Duo</w:t>
      </w:r>
      <w:proofErr w:type="spellEnd"/>
      <w:r w:rsidRPr="00A90658">
        <w:rPr>
          <w:rFonts w:ascii="Calibri" w:hAnsi="Calibri" w:cs="Calibri"/>
          <w:b/>
          <w:bCs/>
        </w:rPr>
        <w:t xml:space="preserve"> Pro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 xml:space="preserve">Esta métrica refleja la cantidad de órdenes activas, cerradas o en proceso bajo la responsabilidad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 xml:space="preserve"> para dicho servicio.</w:t>
      </w:r>
    </w:p>
    <w:p w14:paraId="5F690FD6" w14:textId="7C10127A" w:rsidR="00EA63FD" w:rsidRPr="00A90658" w:rsidRDefault="00EA63FD" w:rsidP="00A90658">
      <w:pPr>
        <w:spacing w:line="276" w:lineRule="auto"/>
        <w:rPr>
          <w:rFonts w:ascii="Calibri" w:hAnsi="Calibri" w:cs="Calibri"/>
        </w:rPr>
      </w:pPr>
      <w:r w:rsidRPr="00B9430D">
        <w:rPr>
          <w:rFonts w:ascii="Calibri" w:hAnsi="Calibri" w:cs="Calibri"/>
          <w:b/>
          <w:bCs/>
          <w:noProof/>
        </w:rPr>
        <w:drawing>
          <wp:inline distT="0" distB="0" distL="0" distR="0" wp14:anchorId="0FA1C8C9" wp14:editId="4CA0813D">
            <wp:extent cx="4343776" cy="731583"/>
            <wp:effectExtent l="0" t="0" r="0" b="0"/>
            <wp:docPr id="163221573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15735" name="Imagen 1" descr="Interfaz de usuario gráfic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D882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3837215F">
          <v:rect id="_x0000_i1106" style="width:0;height:1.5pt" o:hralign="center" o:hrstd="t" o:hr="t" fillcolor="#a0a0a0" stroked="f"/>
        </w:pict>
      </w:r>
    </w:p>
    <w:p w14:paraId="7D67BA68" w14:textId="77777777" w:rsidR="00A90658" w:rsidRPr="00A90658" w:rsidRDefault="00A90658" w:rsidP="00525650">
      <w:pPr>
        <w:pStyle w:val="Ttulo2"/>
      </w:pPr>
      <w:bookmarkStart w:id="11" w:name="_Toc213848651"/>
      <w:r w:rsidRPr="00A90658">
        <w:t>3.6 Total de OXT – Servicio Telefonía Pro</w:t>
      </w:r>
      <w:bookmarkEnd w:id="11"/>
    </w:p>
    <w:p w14:paraId="0F67170E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Indica el total de OXT correspondientes al servicio </w:t>
      </w:r>
      <w:r w:rsidRPr="00A90658">
        <w:rPr>
          <w:rFonts w:ascii="Calibri" w:hAnsi="Calibri" w:cs="Calibri"/>
          <w:b/>
          <w:bCs/>
        </w:rPr>
        <w:t>Telefonía Pro</w:t>
      </w:r>
      <w:r w:rsidRPr="00A90658">
        <w:rPr>
          <w:rFonts w:ascii="Calibri" w:hAnsi="Calibri" w:cs="Calibri"/>
        </w:rPr>
        <w:t xml:space="preserve"> gestionado por Nova Telecom.</w:t>
      </w:r>
      <w:r w:rsidRPr="00A90658">
        <w:rPr>
          <w:rFonts w:ascii="Calibri" w:hAnsi="Calibri" w:cs="Calibri"/>
        </w:rPr>
        <w:br/>
        <w:t>Permite analizar la carga de trabajo y evolución de las órdenes en el área de telefonía profesional.</w:t>
      </w:r>
    </w:p>
    <w:p w14:paraId="4E8B6CF0" w14:textId="57D43837" w:rsidR="008957C3" w:rsidRPr="00A90658" w:rsidRDefault="008957C3" w:rsidP="00A90658">
      <w:pPr>
        <w:spacing w:line="276" w:lineRule="auto"/>
        <w:rPr>
          <w:rFonts w:ascii="Calibri" w:hAnsi="Calibri" w:cs="Calibri"/>
        </w:rPr>
      </w:pPr>
      <w:r w:rsidRPr="0026383B">
        <w:rPr>
          <w:rFonts w:ascii="Calibri" w:hAnsi="Calibri" w:cs="Calibri"/>
          <w:b/>
          <w:bCs/>
          <w:noProof/>
        </w:rPr>
        <w:drawing>
          <wp:inline distT="0" distB="0" distL="0" distR="0" wp14:anchorId="037D69D4" wp14:editId="7D51A74E">
            <wp:extent cx="4351397" cy="701101"/>
            <wp:effectExtent l="0" t="0" r="0" b="3810"/>
            <wp:docPr id="161887672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76723" name="Imagen 1" descr="Interfaz de usuario gráfic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1D87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3608021E">
          <v:rect id="_x0000_i1107" style="width:0;height:1.5pt" o:hralign="center" o:hrstd="t" o:hr="t" fillcolor="#a0a0a0" stroked="f"/>
        </w:pict>
      </w:r>
    </w:p>
    <w:p w14:paraId="7D356250" w14:textId="77777777" w:rsidR="00A90658" w:rsidRPr="00A90658" w:rsidRDefault="00A90658" w:rsidP="00525650">
      <w:pPr>
        <w:pStyle w:val="Ttulo2"/>
      </w:pPr>
      <w:bookmarkStart w:id="12" w:name="_Toc213848652"/>
      <w:r w:rsidRPr="00A90658">
        <w:t>3.7 Total de OXT – Asignación Automática</w:t>
      </w:r>
      <w:bookmarkEnd w:id="12"/>
    </w:p>
    <w:p w14:paraId="04097F98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Presenta el total de órdenes de trabajo gestionadas mediante el proceso de </w:t>
      </w:r>
      <w:r w:rsidRPr="00A90658">
        <w:rPr>
          <w:rFonts w:ascii="Calibri" w:hAnsi="Calibri" w:cs="Calibri"/>
          <w:b/>
          <w:bCs/>
        </w:rPr>
        <w:t>Asignación Automática</w:t>
      </w:r>
      <w:r w:rsidRPr="00A90658">
        <w:rPr>
          <w:rFonts w:ascii="Calibri" w:hAnsi="Calibri" w:cs="Calibri"/>
        </w:rPr>
        <w:t xml:space="preserve">, pertenecientes a la dependencia regional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 xml:space="preserve">, excluyendo al cliente </w:t>
      </w:r>
      <w:r w:rsidRPr="00A90658">
        <w:rPr>
          <w:rFonts w:ascii="Calibri" w:hAnsi="Calibri" w:cs="Calibri"/>
          <w:b/>
          <w:bCs/>
        </w:rPr>
        <w:t>Banco de Chile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Este indicador permite verificar la eficiencia del proceso automatizado y su alcance operativo.</w:t>
      </w:r>
    </w:p>
    <w:p w14:paraId="0B34E2D3" w14:textId="634AFCC8" w:rsidR="004216CC" w:rsidRPr="00A90658" w:rsidRDefault="004216CC" w:rsidP="00A90658">
      <w:pPr>
        <w:spacing w:line="276" w:lineRule="auto"/>
        <w:rPr>
          <w:rFonts w:ascii="Calibri" w:hAnsi="Calibri" w:cs="Calibri"/>
        </w:rPr>
      </w:pPr>
      <w:r w:rsidRPr="00FE091B">
        <w:rPr>
          <w:rFonts w:ascii="Calibri" w:hAnsi="Calibri" w:cs="Calibri"/>
          <w:b/>
          <w:bCs/>
          <w:noProof/>
        </w:rPr>
        <w:drawing>
          <wp:inline distT="0" distB="0" distL="0" distR="0" wp14:anchorId="4ED07280" wp14:editId="2DC57D48">
            <wp:extent cx="4343776" cy="731583"/>
            <wp:effectExtent l="0" t="0" r="0" b="0"/>
            <wp:docPr id="1885376592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76592" name="Imagen 1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91DA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6C46131C">
          <v:rect id="_x0000_i1108" style="width:0;height:1.5pt" o:hralign="center" o:hrstd="t" o:hr="t" fillcolor="#a0a0a0" stroked="f"/>
        </w:pict>
      </w:r>
    </w:p>
    <w:p w14:paraId="28985BC5" w14:textId="77777777" w:rsidR="00A90658" w:rsidRPr="00A90658" w:rsidRDefault="00A90658" w:rsidP="00525650">
      <w:pPr>
        <w:pStyle w:val="Ttulo2"/>
      </w:pPr>
      <w:bookmarkStart w:id="13" w:name="_Toc213848653"/>
      <w:r w:rsidRPr="00A90658">
        <w:lastRenderedPageBreak/>
        <w:t>3.8 Total de OXT – Asignación Automática Regional</w:t>
      </w:r>
      <w:bookmarkEnd w:id="13"/>
    </w:p>
    <w:p w14:paraId="78056CE7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Desglosa las órdenes asignadas automáticamente, filtradas por </w:t>
      </w:r>
      <w:r w:rsidRPr="00A90658">
        <w:rPr>
          <w:rFonts w:ascii="Calibri" w:hAnsi="Calibri" w:cs="Calibri"/>
          <w:b/>
          <w:bCs/>
        </w:rPr>
        <w:t>dependencia regional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Excluye nuevamente al cliente Banco de Chile y permite visualizar la distribución territorial de la carga automatizada.</w:t>
      </w:r>
    </w:p>
    <w:p w14:paraId="400317FC" w14:textId="64A44D60" w:rsidR="00C81A96" w:rsidRPr="00A90658" w:rsidRDefault="00C81A96" w:rsidP="00A90658">
      <w:pPr>
        <w:spacing w:line="276" w:lineRule="auto"/>
        <w:rPr>
          <w:rFonts w:ascii="Calibri" w:hAnsi="Calibri" w:cs="Calibri"/>
        </w:rPr>
      </w:pPr>
      <w:r w:rsidRPr="00C42530">
        <w:rPr>
          <w:rFonts w:ascii="Calibri" w:hAnsi="Calibri" w:cs="Calibri"/>
          <w:b/>
          <w:bCs/>
          <w:noProof/>
        </w:rPr>
        <w:drawing>
          <wp:inline distT="0" distB="0" distL="0" distR="0" wp14:anchorId="0E3936D7" wp14:editId="43F99D36">
            <wp:extent cx="4320914" cy="701101"/>
            <wp:effectExtent l="0" t="0" r="3810" b="3810"/>
            <wp:docPr id="1061665261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65261" name="Imagen 1" descr="Interfaz de usuario gráfica, Texto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E00B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57580DAF">
          <v:rect id="_x0000_i1109" style="width:0;height:1.5pt" o:hralign="center" o:hrstd="t" o:hr="t" fillcolor="#a0a0a0" stroked="f"/>
        </w:pict>
      </w:r>
    </w:p>
    <w:p w14:paraId="5EB2BEDD" w14:textId="77777777" w:rsidR="00A90658" w:rsidRPr="00A90658" w:rsidRDefault="00A90658" w:rsidP="00525650">
      <w:pPr>
        <w:pStyle w:val="Ttulo2"/>
      </w:pPr>
      <w:bookmarkStart w:id="14" w:name="_Toc213848654"/>
      <w:r w:rsidRPr="00A90658">
        <w:t>3.9 OXT Iniciadas por Agentes Nova Telecom</w:t>
      </w:r>
      <w:bookmarkEnd w:id="14"/>
    </w:p>
    <w:p w14:paraId="0A511F53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las órdenes de trabajo iniciadas directamente por agentes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>, permitiendo distinguir aquellas generadas manualmente de las que fueron creadas por automatización o carga masiva.</w:t>
      </w:r>
    </w:p>
    <w:p w14:paraId="607689A1" w14:textId="76CC8326" w:rsidR="00E76761" w:rsidRPr="00A90658" w:rsidRDefault="00E76761" w:rsidP="00A90658">
      <w:pPr>
        <w:spacing w:line="276" w:lineRule="auto"/>
        <w:rPr>
          <w:rFonts w:ascii="Calibri" w:hAnsi="Calibri" w:cs="Calibri"/>
        </w:rPr>
      </w:pPr>
      <w:r w:rsidRPr="00B565BB">
        <w:rPr>
          <w:rFonts w:ascii="Calibri" w:hAnsi="Calibri" w:cs="Calibri"/>
          <w:b/>
          <w:bCs/>
          <w:noProof/>
        </w:rPr>
        <w:drawing>
          <wp:inline distT="0" distB="0" distL="0" distR="0" wp14:anchorId="1ED045F0" wp14:editId="3717C8DA">
            <wp:extent cx="4313294" cy="723963"/>
            <wp:effectExtent l="0" t="0" r="0" b="0"/>
            <wp:docPr id="101730225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0225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7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6102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pict w14:anchorId="6811DDCB">
          <v:rect id="_x0000_i1110" style="width:0;height:1.5pt" o:hralign="center" o:hrstd="t" o:hr="t" fillcolor="#a0a0a0" stroked="f"/>
        </w:pict>
      </w:r>
    </w:p>
    <w:p w14:paraId="7B8BC6E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1F0E589C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FCBD4AF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098B6B3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1FAA33D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31F2F0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29180423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1604D5DF" w14:textId="77777777" w:rsidR="00CB568F" w:rsidRPr="00A90658" w:rsidRDefault="00CB568F" w:rsidP="00A90658">
      <w:pPr>
        <w:spacing w:line="276" w:lineRule="auto"/>
        <w:rPr>
          <w:rFonts w:ascii="Calibri" w:hAnsi="Calibri" w:cs="Calibri"/>
        </w:rPr>
      </w:pPr>
    </w:p>
    <w:p w14:paraId="4C3569DC" w14:textId="77777777" w:rsidR="00A90658" w:rsidRPr="00A90658" w:rsidRDefault="00A90658" w:rsidP="00525650">
      <w:pPr>
        <w:pStyle w:val="Ttulo2"/>
      </w:pPr>
      <w:bookmarkStart w:id="15" w:name="_Toc213848655"/>
      <w:r w:rsidRPr="00A90658">
        <w:lastRenderedPageBreak/>
        <w:t>3.10 Detalle de Columnas por Panel</w:t>
      </w:r>
      <w:bookmarkEnd w:id="15"/>
    </w:p>
    <w:p w14:paraId="382AF87C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>Al hacer clic en cualquiera de los paneles, se despliega una tabla detallada con las siguientes columnas, en el orden indicado:</w:t>
      </w:r>
    </w:p>
    <w:p w14:paraId="638B8589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NUMERO_OXT:</w:t>
      </w:r>
      <w:r w:rsidRPr="00A90658">
        <w:rPr>
          <w:rFonts w:ascii="Calibri" w:hAnsi="Calibri" w:cs="Calibri"/>
        </w:rPr>
        <w:t xml:space="preserve"> Identificador único de la orden de trabajo.</w:t>
      </w:r>
    </w:p>
    <w:p w14:paraId="7A8EC676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CODIGO_SERVICIO:</w:t>
      </w:r>
      <w:r w:rsidRPr="00A90658">
        <w:rPr>
          <w:rFonts w:ascii="Calibri" w:hAnsi="Calibri" w:cs="Calibri"/>
        </w:rPr>
        <w:t xml:space="preserve"> Código interno asignado al servicio gestionado.</w:t>
      </w:r>
    </w:p>
    <w:p w14:paraId="52609A12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TIPO_TRABAJO:</w:t>
      </w:r>
      <w:r w:rsidRPr="00A90658">
        <w:rPr>
          <w:rFonts w:ascii="Calibri" w:hAnsi="Calibri" w:cs="Calibri"/>
        </w:rPr>
        <w:t xml:space="preserve"> Tipo de labor (instalación, mantenimiento, modificación, etc.).</w:t>
      </w:r>
    </w:p>
    <w:p w14:paraId="5F039275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TIPO_DE_SERVICIO:</w:t>
      </w:r>
      <w:r w:rsidRPr="00A90658">
        <w:rPr>
          <w:rFonts w:ascii="Calibri" w:hAnsi="Calibri" w:cs="Calibri"/>
        </w:rPr>
        <w:t xml:space="preserve"> Clasificación general del servicio.</w:t>
      </w:r>
    </w:p>
    <w:p w14:paraId="27167E41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EXTREMO_A:</w:t>
      </w:r>
      <w:r w:rsidRPr="00A90658">
        <w:rPr>
          <w:rFonts w:ascii="Calibri" w:hAnsi="Calibri" w:cs="Calibri"/>
        </w:rPr>
        <w:t xml:space="preserve"> Punto o extremo principal asociado a la orden.</w:t>
      </w:r>
    </w:p>
    <w:p w14:paraId="24F63EBC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FECHA_DE_HABILITACIÓN:</w:t>
      </w:r>
      <w:r w:rsidRPr="00A90658">
        <w:rPr>
          <w:rFonts w:ascii="Calibri" w:hAnsi="Calibri" w:cs="Calibri"/>
        </w:rPr>
        <w:t xml:space="preserve"> Fecha en que se habilitó el servicio o la instalación.</w:t>
      </w:r>
    </w:p>
    <w:p w14:paraId="15D171D7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UNIDAD_EJECUTORA001:</w:t>
      </w:r>
      <w:r w:rsidRPr="00A90658">
        <w:rPr>
          <w:rFonts w:ascii="Calibri" w:hAnsi="Calibri" w:cs="Calibri"/>
        </w:rPr>
        <w:t xml:space="preserve"> Unidad encargada de la ejecución del trabajo.</w:t>
      </w:r>
    </w:p>
    <w:p w14:paraId="1F08F9C8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SIGLA:</w:t>
      </w:r>
      <w:r w:rsidRPr="00A90658">
        <w:rPr>
          <w:rFonts w:ascii="Calibri" w:hAnsi="Calibri" w:cs="Calibri"/>
        </w:rPr>
        <w:t xml:space="preserve"> Identificación abreviada del área o equipo.</w:t>
      </w:r>
    </w:p>
    <w:p w14:paraId="36633BBC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ESTADO_ACTIVIDAD:</w:t>
      </w:r>
      <w:r w:rsidRPr="00A90658">
        <w:rPr>
          <w:rFonts w:ascii="Calibri" w:hAnsi="Calibri" w:cs="Calibri"/>
        </w:rPr>
        <w:t xml:space="preserve"> Estado operativo actual de la orden (abierta, en curso, cerrada).</w:t>
      </w:r>
    </w:p>
    <w:p w14:paraId="17F7591E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RAZON_SOCIAL:</w:t>
      </w:r>
      <w:r w:rsidRPr="00A90658">
        <w:rPr>
          <w:rFonts w:ascii="Calibri" w:hAnsi="Calibri" w:cs="Calibri"/>
        </w:rPr>
        <w:t xml:space="preserve"> Nombre del cliente o entidad asociada a la orden.</w:t>
      </w:r>
    </w:p>
    <w:p w14:paraId="072281C2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SIGLA_ACTIVIDAD:</w:t>
      </w:r>
      <w:r w:rsidRPr="00A90658">
        <w:rPr>
          <w:rFonts w:ascii="Calibri" w:hAnsi="Calibri" w:cs="Calibri"/>
        </w:rPr>
        <w:t xml:space="preserve"> Abreviatura del estado o tipo de actividad.</w:t>
      </w:r>
    </w:p>
    <w:p w14:paraId="51D8A93F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CLASIFICACION_OXT:</w:t>
      </w:r>
      <w:r w:rsidRPr="00A90658">
        <w:rPr>
          <w:rFonts w:ascii="Calibri" w:hAnsi="Calibri" w:cs="Calibri"/>
        </w:rPr>
        <w:t xml:space="preserve"> Categoría asignada a la orden de trabajo.</w:t>
      </w:r>
    </w:p>
    <w:p w14:paraId="7FE1B172" w14:textId="77777777" w:rsidR="00A90658" w:rsidRPr="00A90658" w:rsidRDefault="00A90658" w:rsidP="00A90658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DEP__REG_A:</w:t>
      </w:r>
      <w:r w:rsidRPr="00A90658">
        <w:rPr>
          <w:rFonts w:ascii="Calibri" w:hAnsi="Calibri" w:cs="Calibri"/>
        </w:rPr>
        <w:t xml:space="preserve"> Dependencia regional responsable de la gestión.</w:t>
      </w:r>
    </w:p>
    <w:p w14:paraId="02DD5B7A" w14:textId="676DCA95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>Esta vista detallada entrega trazabilidad y permite la exportación de la información para análisis complementarios.</w:t>
      </w:r>
    </w:p>
    <w:p w14:paraId="010B0EC5" w14:textId="77777777" w:rsidR="00A90658" w:rsidRPr="00A90658" w:rsidRDefault="00A90658" w:rsidP="00525650">
      <w:pPr>
        <w:pStyle w:val="Ttulo2"/>
      </w:pPr>
      <w:bookmarkStart w:id="16" w:name="_Toc213848656"/>
      <w:r w:rsidRPr="00A90658">
        <w:t>3.11 Última Actualización del Panel</w:t>
      </w:r>
      <w:bookmarkEnd w:id="16"/>
    </w:p>
    <w:p w14:paraId="20425EEE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En la esquina superior derecha del panel se muestra la </w:t>
      </w:r>
      <w:r w:rsidRPr="00A90658">
        <w:rPr>
          <w:rFonts w:ascii="Calibri" w:hAnsi="Calibri" w:cs="Calibri"/>
          <w:b/>
          <w:bCs/>
        </w:rPr>
        <w:t>fecha y hora de la última actualización</w:t>
      </w:r>
      <w:r w:rsidRPr="00A90658">
        <w:rPr>
          <w:rFonts w:ascii="Calibri" w:hAnsi="Calibri" w:cs="Calibri"/>
        </w:rPr>
        <w:t xml:space="preserve"> de los datos cargados.</w:t>
      </w:r>
      <w:r w:rsidRPr="00A90658">
        <w:rPr>
          <w:rFonts w:ascii="Calibri" w:hAnsi="Calibri" w:cs="Calibri"/>
        </w:rPr>
        <w:br/>
        <w:t xml:space="preserve">Este indicador es clave para validar que la información visualizada corresponde a la versión más reciente del </w:t>
      </w:r>
      <w:proofErr w:type="spellStart"/>
      <w:r w:rsidRPr="00A90658">
        <w:rPr>
          <w:rFonts w:ascii="Calibri" w:hAnsi="Calibri" w:cs="Calibri"/>
        </w:rPr>
        <w:t>dataset</w:t>
      </w:r>
      <w:proofErr w:type="spellEnd"/>
      <w:r w:rsidRPr="00A90658">
        <w:rPr>
          <w:rFonts w:ascii="Calibri" w:hAnsi="Calibri" w:cs="Calibri"/>
        </w:rPr>
        <w:t>.</w:t>
      </w:r>
    </w:p>
    <w:p w14:paraId="03C5AB66" w14:textId="2CB18417" w:rsidR="009502CB" w:rsidRPr="00A90658" w:rsidRDefault="00573E53" w:rsidP="00A90658">
      <w:pPr>
        <w:spacing w:line="276" w:lineRule="auto"/>
        <w:rPr>
          <w:rFonts w:ascii="Calibri" w:hAnsi="Calibri" w:cs="Calibri"/>
        </w:rPr>
      </w:pPr>
      <w:r w:rsidRPr="00815060">
        <w:rPr>
          <w:rFonts w:ascii="Calibri" w:hAnsi="Calibri" w:cs="Calibri"/>
          <w:b/>
          <w:bCs/>
          <w:noProof/>
        </w:rPr>
        <w:drawing>
          <wp:inline distT="0" distB="0" distL="0" distR="0" wp14:anchorId="2777D380" wp14:editId="4AF683F2">
            <wp:extent cx="5612130" cy="353060"/>
            <wp:effectExtent l="0" t="0" r="7620" b="8890"/>
            <wp:docPr id="1487412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128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AB1F" w14:textId="77777777" w:rsidR="00A90658" w:rsidRPr="00A90658" w:rsidRDefault="00A90658" w:rsidP="00525650">
      <w:pPr>
        <w:pStyle w:val="Ttulo1"/>
      </w:pPr>
      <w:bookmarkStart w:id="17" w:name="_Toc213848657"/>
      <w:r w:rsidRPr="00A90658">
        <w:lastRenderedPageBreak/>
        <w:t>4. Consideraciones Generales</w:t>
      </w:r>
      <w:bookmarkEnd w:id="17"/>
    </w:p>
    <w:p w14:paraId="604F997E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Toda solicitud de modificación, actualización o corrección relacionada con el </w:t>
      </w:r>
      <w:r w:rsidRPr="00A90658">
        <w:rPr>
          <w:rFonts w:ascii="Calibri" w:hAnsi="Calibri" w:cs="Calibri"/>
          <w:b/>
          <w:bCs/>
        </w:rPr>
        <w:t>Panel de Asignaciones</w:t>
      </w:r>
      <w:r w:rsidRPr="00A90658">
        <w:rPr>
          <w:rFonts w:ascii="Calibri" w:hAnsi="Calibri" w:cs="Calibri"/>
        </w:rPr>
        <w:t xml:space="preserve"> debe realizarse mediante correo electrónico con el asunto: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b/>
          <w:bCs/>
        </w:rPr>
        <w:t>“Requerimiento a realizar”</w:t>
      </w:r>
    </w:p>
    <w:p w14:paraId="68C05512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Esto permitirá que la solicitud sea gestionada automáticamente por un integrante del equipo </w:t>
      </w:r>
      <w:r w:rsidRPr="00A90658">
        <w:rPr>
          <w:rFonts w:ascii="Calibri" w:hAnsi="Calibri" w:cs="Calibri"/>
          <w:b/>
          <w:bCs/>
        </w:rPr>
        <w:t>MOBS (Monitoreo y Observabilidad)</w:t>
      </w:r>
      <w:r w:rsidRPr="00A90658">
        <w:rPr>
          <w:rFonts w:ascii="Calibri" w:hAnsi="Calibri" w:cs="Calibri"/>
        </w:rPr>
        <w:t>.</w:t>
      </w:r>
    </w:p>
    <w:p w14:paraId="358C710D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Segoe UI Emoji" w:hAnsi="Segoe UI Emoji" w:cs="Segoe UI Emoji"/>
        </w:rPr>
        <w:t>📩</w:t>
      </w:r>
      <w:r w:rsidRPr="00A90658">
        <w:rPr>
          <w:rFonts w:ascii="Calibri" w:hAnsi="Calibri" w:cs="Calibri"/>
        </w:rPr>
        <w:t xml:space="preserve"> </w:t>
      </w:r>
      <w:r w:rsidRPr="00A90658">
        <w:rPr>
          <w:rFonts w:ascii="Calibri" w:hAnsi="Calibri" w:cs="Calibri"/>
          <w:b/>
          <w:bCs/>
        </w:rPr>
        <w:t>Ejemplo de solicitud: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i/>
          <w:iCs/>
        </w:rPr>
        <w:t>Asunto:</w:t>
      </w:r>
      <w:r w:rsidRPr="00A90658">
        <w:rPr>
          <w:rFonts w:ascii="Calibri" w:hAnsi="Calibri" w:cs="Calibri"/>
        </w:rPr>
        <w:t xml:space="preserve"> Requerimiento a realizar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i/>
          <w:iCs/>
        </w:rPr>
        <w:t>Cuerpo del mensaje:</w:t>
      </w:r>
      <w:r w:rsidRPr="00A90658">
        <w:rPr>
          <w:rFonts w:ascii="Calibri" w:hAnsi="Calibri" w:cs="Calibri"/>
        </w:rPr>
        <w:t xml:space="preserve"> Descripción breve del cambio solicitado o del problema detectado.</w:t>
      </w:r>
    </w:p>
    <w:p w14:paraId="67D9CD92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Para realizar la solicitud directamente desde el documento, presione </w:t>
      </w:r>
      <w:proofErr w:type="spellStart"/>
      <w:r w:rsidRPr="00A90658">
        <w:rPr>
          <w:rFonts w:ascii="Calibri" w:hAnsi="Calibri" w:cs="Calibri"/>
          <w:b/>
          <w:bCs/>
        </w:rPr>
        <w:t>Ctrl</w:t>
      </w:r>
      <w:proofErr w:type="spellEnd"/>
      <w:r w:rsidRPr="00A90658">
        <w:rPr>
          <w:rFonts w:ascii="Calibri" w:hAnsi="Calibri" w:cs="Calibri"/>
          <w:b/>
          <w:bCs/>
        </w:rPr>
        <w:t xml:space="preserve"> + clic</w:t>
      </w:r>
      <w:r w:rsidRPr="00A90658">
        <w:rPr>
          <w:rFonts w:ascii="Calibri" w:hAnsi="Calibri" w:cs="Calibri"/>
        </w:rPr>
        <w:t xml:space="preserve"> en el siguiente enlace:</w:t>
      </w:r>
    </w:p>
    <w:p w14:paraId="31821B5B" w14:textId="77777777" w:rsidR="009502CB" w:rsidRPr="00194987" w:rsidRDefault="009502CB" w:rsidP="009502CB">
      <w:pPr>
        <w:spacing w:line="276" w:lineRule="auto"/>
        <w:rPr>
          <w:rFonts w:ascii="Calibri" w:hAnsi="Calibri" w:cs="Calibri"/>
          <w:i/>
          <w:iCs/>
        </w:rPr>
      </w:pPr>
      <w:hyperlink r:id="rId18" w:history="1">
        <w:r w:rsidRPr="00194987">
          <w:rPr>
            <w:rStyle w:val="Hipervnculo"/>
            <w:rFonts w:ascii="Calibri" w:hAnsi="Calibri" w:cs="Calibri"/>
            <w:i/>
            <w:iCs/>
          </w:rPr>
          <w:t>Enviar repo</w:t>
        </w:r>
        <w:r w:rsidRPr="00194987">
          <w:rPr>
            <w:rStyle w:val="Hipervnculo"/>
            <w:rFonts w:ascii="Calibri" w:hAnsi="Calibri" w:cs="Calibri"/>
            <w:i/>
            <w:iCs/>
          </w:rPr>
          <w:t>r</w:t>
        </w:r>
        <w:r w:rsidRPr="00194987">
          <w:rPr>
            <w:rStyle w:val="Hipervnculo"/>
            <w:rFonts w:ascii="Calibri" w:hAnsi="Calibri" w:cs="Calibri"/>
            <w:i/>
            <w:iCs/>
          </w:rPr>
          <w:t>te a MOBS</w:t>
        </w:r>
      </w:hyperlink>
    </w:p>
    <w:p w14:paraId="07F2EF3C" w14:textId="245EAD9E" w:rsidR="00815060" w:rsidRDefault="00815060" w:rsidP="00F24AB6">
      <w:pPr>
        <w:spacing w:line="276" w:lineRule="auto"/>
        <w:rPr>
          <w:rFonts w:ascii="Calibri" w:hAnsi="Calibri" w:cs="Calibri"/>
          <w:b/>
          <w:bCs/>
        </w:rPr>
      </w:pPr>
    </w:p>
    <w:sectPr w:rsidR="00815060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F21B" w14:textId="77777777" w:rsidR="00EB3983" w:rsidRDefault="00EB3983" w:rsidP="00F24AB6">
      <w:pPr>
        <w:spacing w:after="0" w:line="240" w:lineRule="auto"/>
      </w:pPr>
      <w:r>
        <w:separator/>
      </w:r>
    </w:p>
  </w:endnote>
  <w:endnote w:type="continuationSeparator" w:id="0">
    <w:p w14:paraId="06BA4FFA" w14:textId="77777777" w:rsidR="00EB3983" w:rsidRDefault="00EB3983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C9A7" w14:textId="77777777" w:rsidR="00EB3983" w:rsidRDefault="00EB3983" w:rsidP="00F24AB6">
      <w:pPr>
        <w:spacing w:after="0" w:line="240" w:lineRule="auto"/>
      </w:pPr>
      <w:r>
        <w:separator/>
      </w:r>
    </w:p>
  </w:footnote>
  <w:footnote w:type="continuationSeparator" w:id="0">
    <w:p w14:paraId="78211E6E" w14:textId="77777777" w:rsidR="00EB3983" w:rsidRDefault="00EB3983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00B6F6AE" w:rsidR="00F24AB6" w:rsidRDefault="007F4E5E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>Manual de uso panel de Asignaciones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640F0654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</w:t>
          </w:r>
          <w:r w:rsidR="007F4E5E">
            <w:rPr>
              <w:rFonts w:ascii="Tahoma"/>
              <w:spacing w:val="-2"/>
            </w:rPr>
            <w:t>2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D8"/>
    <w:multiLevelType w:val="hybridMultilevel"/>
    <w:tmpl w:val="A294B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8DA"/>
    <w:multiLevelType w:val="multilevel"/>
    <w:tmpl w:val="C8F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846C7"/>
    <w:multiLevelType w:val="multilevel"/>
    <w:tmpl w:val="E6E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E04A5"/>
    <w:multiLevelType w:val="multilevel"/>
    <w:tmpl w:val="CB4E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640">
    <w:abstractNumId w:val="4"/>
  </w:num>
  <w:num w:numId="2" w16cid:durableId="1470901872">
    <w:abstractNumId w:val="13"/>
  </w:num>
  <w:num w:numId="3" w16cid:durableId="110130417">
    <w:abstractNumId w:val="5"/>
  </w:num>
  <w:num w:numId="4" w16cid:durableId="1907448218">
    <w:abstractNumId w:val="11"/>
  </w:num>
  <w:num w:numId="5" w16cid:durableId="2107310763">
    <w:abstractNumId w:val="12"/>
  </w:num>
  <w:num w:numId="6" w16cid:durableId="58942447">
    <w:abstractNumId w:val="1"/>
  </w:num>
  <w:num w:numId="7" w16cid:durableId="1913351896">
    <w:abstractNumId w:val="2"/>
  </w:num>
  <w:num w:numId="8" w16cid:durableId="1100220019">
    <w:abstractNumId w:val="9"/>
  </w:num>
  <w:num w:numId="9" w16cid:durableId="55663532">
    <w:abstractNumId w:val="8"/>
  </w:num>
  <w:num w:numId="10" w16cid:durableId="1738478892">
    <w:abstractNumId w:val="3"/>
  </w:num>
  <w:num w:numId="11" w16cid:durableId="1723947457">
    <w:abstractNumId w:val="0"/>
  </w:num>
  <w:num w:numId="12" w16cid:durableId="855189243">
    <w:abstractNumId w:val="10"/>
  </w:num>
  <w:num w:numId="13" w16cid:durableId="1051229601">
    <w:abstractNumId w:val="6"/>
  </w:num>
  <w:num w:numId="14" w16cid:durableId="1752240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42B39"/>
    <w:rsid w:val="00046286"/>
    <w:rsid w:val="00047E7B"/>
    <w:rsid w:val="00055402"/>
    <w:rsid w:val="00074FC1"/>
    <w:rsid w:val="000931C5"/>
    <w:rsid w:val="000E197C"/>
    <w:rsid w:val="000E26B9"/>
    <w:rsid w:val="00112DC0"/>
    <w:rsid w:val="00137A48"/>
    <w:rsid w:val="00147459"/>
    <w:rsid w:val="001541C3"/>
    <w:rsid w:val="001572D1"/>
    <w:rsid w:val="00164E2D"/>
    <w:rsid w:val="00194987"/>
    <w:rsid w:val="001E3C70"/>
    <w:rsid w:val="001F78AE"/>
    <w:rsid w:val="002115E1"/>
    <w:rsid w:val="00231112"/>
    <w:rsid w:val="00244801"/>
    <w:rsid w:val="0024484B"/>
    <w:rsid w:val="00262498"/>
    <w:rsid w:val="0026383B"/>
    <w:rsid w:val="00296F4C"/>
    <w:rsid w:val="00314D56"/>
    <w:rsid w:val="00343549"/>
    <w:rsid w:val="00352B60"/>
    <w:rsid w:val="00381E28"/>
    <w:rsid w:val="0038715A"/>
    <w:rsid w:val="00393B8E"/>
    <w:rsid w:val="003B2A47"/>
    <w:rsid w:val="003E25DF"/>
    <w:rsid w:val="003E3F57"/>
    <w:rsid w:val="003F598F"/>
    <w:rsid w:val="004216CC"/>
    <w:rsid w:val="00443D4E"/>
    <w:rsid w:val="004A5380"/>
    <w:rsid w:val="004C2679"/>
    <w:rsid w:val="00513723"/>
    <w:rsid w:val="005223A4"/>
    <w:rsid w:val="00525650"/>
    <w:rsid w:val="005463AE"/>
    <w:rsid w:val="005547A6"/>
    <w:rsid w:val="00554EC9"/>
    <w:rsid w:val="00573E53"/>
    <w:rsid w:val="00585F6B"/>
    <w:rsid w:val="005A1D3A"/>
    <w:rsid w:val="005B358E"/>
    <w:rsid w:val="005C46FD"/>
    <w:rsid w:val="005E2D29"/>
    <w:rsid w:val="005F6028"/>
    <w:rsid w:val="005F7F7D"/>
    <w:rsid w:val="006173EF"/>
    <w:rsid w:val="00655735"/>
    <w:rsid w:val="006B14E9"/>
    <w:rsid w:val="006B2804"/>
    <w:rsid w:val="006B626A"/>
    <w:rsid w:val="00705871"/>
    <w:rsid w:val="00726A65"/>
    <w:rsid w:val="0073348C"/>
    <w:rsid w:val="00765F1A"/>
    <w:rsid w:val="00796001"/>
    <w:rsid w:val="007A73A5"/>
    <w:rsid w:val="007C1072"/>
    <w:rsid w:val="007C2B3A"/>
    <w:rsid w:val="007C6162"/>
    <w:rsid w:val="007E557D"/>
    <w:rsid w:val="007F4E5E"/>
    <w:rsid w:val="008077CB"/>
    <w:rsid w:val="00815060"/>
    <w:rsid w:val="00851901"/>
    <w:rsid w:val="008525ED"/>
    <w:rsid w:val="0086732A"/>
    <w:rsid w:val="00884BD4"/>
    <w:rsid w:val="008957C3"/>
    <w:rsid w:val="008A21A9"/>
    <w:rsid w:val="008A7CC7"/>
    <w:rsid w:val="00905FBC"/>
    <w:rsid w:val="00910896"/>
    <w:rsid w:val="009214E9"/>
    <w:rsid w:val="009502CB"/>
    <w:rsid w:val="00952884"/>
    <w:rsid w:val="00957BB9"/>
    <w:rsid w:val="00970CEE"/>
    <w:rsid w:val="009B36C6"/>
    <w:rsid w:val="009C1660"/>
    <w:rsid w:val="009E4888"/>
    <w:rsid w:val="00A01876"/>
    <w:rsid w:val="00A40E42"/>
    <w:rsid w:val="00A542C1"/>
    <w:rsid w:val="00A600AB"/>
    <w:rsid w:val="00A90658"/>
    <w:rsid w:val="00A9104C"/>
    <w:rsid w:val="00AA2C3C"/>
    <w:rsid w:val="00AA62FE"/>
    <w:rsid w:val="00AC755A"/>
    <w:rsid w:val="00AD043E"/>
    <w:rsid w:val="00B51961"/>
    <w:rsid w:val="00B565BB"/>
    <w:rsid w:val="00B755F6"/>
    <w:rsid w:val="00B9408F"/>
    <w:rsid w:val="00B9430D"/>
    <w:rsid w:val="00BA74E4"/>
    <w:rsid w:val="00BB3BB0"/>
    <w:rsid w:val="00BB4F69"/>
    <w:rsid w:val="00C11796"/>
    <w:rsid w:val="00C12580"/>
    <w:rsid w:val="00C14801"/>
    <w:rsid w:val="00C172CE"/>
    <w:rsid w:val="00C26A0F"/>
    <w:rsid w:val="00C42530"/>
    <w:rsid w:val="00C519D1"/>
    <w:rsid w:val="00C6561F"/>
    <w:rsid w:val="00C81A96"/>
    <w:rsid w:val="00C837C0"/>
    <w:rsid w:val="00C86603"/>
    <w:rsid w:val="00CB568F"/>
    <w:rsid w:val="00CB7676"/>
    <w:rsid w:val="00CC012D"/>
    <w:rsid w:val="00D06017"/>
    <w:rsid w:val="00D10064"/>
    <w:rsid w:val="00D10614"/>
    <w:rsid w:val="00D127BE"/>
    <w:rsid w:val="00D17CF5"/>
    <w:rsid w:val="00D26FEF"/>
    <w:rsid w:val="00D33765"/>
    <w:rsid w:val="00D77832"/>
    <w:rsid w:val="00D853FD"/>
    <w:rsid w:val="00D85B65"/>
    <w:rsid w:val="00DB1F3A"/>
    <w:rsid w:val="00DB27B6"/>
    <w:rsid w:val="00DD157E"/>
    <w:rsid w:val="00DD1708"/>
    <w:rsid w:val="00DF17D6"/>
    <w:rsid w:val="00E042A4"/>
    <w:rsid w:val="00E06B83"/>
    <w:rsid w:val="00E07792"/>
    <w:rsid w:val="00E3071D"/>
    <w:rsid w:val="00E53713"/>
    <w:rsid w:val="00E72240"/>
    <w:rsid w:val="00E76761"/>
    <w:rsid w:val="00EA63FD"/>
    <w:rsid w:val="00EB3544"/>
    <w:rsid w:val="00EB3983"/>
    <w:rsid w:val="00ED633F"/>
    <w:rsid w:val="00EE1A0B"/>
    <w:rsid w:val="00EE3C5D"/>
    <w:rsid w:val="00F01FD0"/>
    <w:rsid w:val="00F1086E"/>
    <w:rsid w:val="00F15B26"/>
    <w:rsid w:val="00F24AB6"/>
    <w:rsid w:val="00F30B66"/>
    <w:rsid w:val="00F314F4"/>
    <w:rsid w:val="00F32F7C"/>
    <w:rsid w:val="00F656E8"/>
    <w:rsid w:val="00F71FC5"/>
    <w:rsid w:val="00F82209"/>
    <w:rsid w:val="00F90155"/>
    <w:rsid w:val="00FA2A20"/>
    <w:rsid w:val="00FB066B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mobs@novatelecom.cl?subject=%23MOBS%20Requerimiento%20EP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1276</Words>
  <Characters>6998</Characters>
  <Application>Microsoft Office Word</Application>
  <DocSecurity>0</DocSecurity>
  <Lines>411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69</cp:revision>
  <dcterms:created xsi:type="dcterms:W3CDTF">2025-11-12T16:02:00Z</dcterms:created>
  <dcterms:modified xsi:type="dcterms:W3CDTF">2025-11-12T17:03:00Z</dcterms:modified>
</cp:coreProperties>
</file>